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B3B2">
      <w:pPr>
        <w:pStyle w:val="21"/>
        <w:ind w:firstLine="0" w:firstLineChars="0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1-3</w:t>
      </w:r>
      <w:r>
        <w:rPr>
          <w:rFonts w:hint="eastAsia" w:ascii="宋体" w:hAnsi="宋体"/>
          <w:b/>
          <w:bCs/>
          <w:kern w:val="0"/>
          <w:sz w:val="32"/>
          <w:szCs w:val="32"/>
        </w:rPr>
        <w:t>：参赛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报告书</w:t>
      </w:r>
      <w:r>
        <w:rPr>
          <w:rFonts w:hint="eastAsia" w:ascii="宋体" w:hAnsi="宋体"/>
          <w:b/>
          <w:bCs/>
          <w:kern w:val="0"/>
          <w:sz w:val="32"/>
          <w:szCs w:val="32"/>
        </w:rPr>
        <w:t>参考模板</w:t>
      </w:r>
    </w:p>
    <w:p w14:paraId="20C713E6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70510150">
      <w:pPr>
        <w:spacing w:line="360" w:lineRule="auto"/>
        <w:jc w:val="center"/>
        <w:rPr>
          <w:bCs/>
          <w:sz w:val="36"/>
          <w:szCs w:val="36"/>
          <w:lang w:val="zh-TW" w:eastAsia="zh-Hans"/>
        </w:rPr>
      </w:pPr>
      <w:r>
        <w:rPr>
          <w:bCs/>
          <w:sz w:val="36"/>
          <w:szCs w:val="36"/>
          <w:lang w:val="zh-TW" w:eastAsia="zh-Hans"/>
        </w:rPr>
        <w:t xml:space="preserve"> </w:t>
      </w:r>
    </w:p>
    <w:p w14:paraId="6942C39D">
      <w:pPr>
        <w:spacing w:line="360" w:lineRule="auto"/>
        <w:jc w:val="center"/>
        <w:rPr>
          <w:rFonts w:ascii="黑体" w:eastAsia="黑体"/>
          <w:kern w:val="0"/>
          <w:sz w:val="40"/>
          <w:szCs w:val="22"/>
          <w:lang w:val="zh-TW"/>
        </w:rPr>
      </w:pPr>
      <w:r>
        <w:rPr>
          <w:rFonts w:hint="eastAsia" w:ascii="黑体" w:eastAsia="黑体"/>
          <w:kern w:val="0"/>
          <w:sz w:val="40"/>
          <w:szCs w:val="22"/>
        </w:rPr>
        <w:t>源肽杯·</w:t>
      </w:r>
      <w:r>
        <w:rPr>
          <w:rFonts w:hint="eastAsia" w:ascii="黑体" w:eastAsia="黑体"/>
          <w:kern w:val="0"/>
          <w:sz w:val="40"/>
          <w:szCs w:val="22"/>
          <w:lang w:eastAsia="zh-Hans"/>
        </w:rPr>
        <w:t>第</w:t>
      </w:r>
      <w:r>
        <w:rPr>
          <w:rFonts w:hint="eastAsia" w:ascii="黑体" w:eastAsia="黑体"/>
          <w:kern w:val="0"/>
          <w:sz w:val="40"/>
          <w:szCs w:val="22"/>
        </w:rPr>
        <w:t>四</w:t>
      </w:r>
      <w:r>
        <w:rPr>
          <w:rFonts w:hint="eastAsia" w:ascii="黑体" w:eastAsia="黑体"/>
          <w:kern w:val="0"/>
          <w:sz w:val="40"/>
          <w:szCs w:val="22"/>
          <w:lang w:eastAsia="zh-Hans"/>
        </w:rPr>
        <w:t>届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全国大学生绿色化妆品</w:t>
      </w:r>
      <w:r>
        <w:rPr>
          <w:rFonts w:hint="eastAsia" w:ascii="黑体" w:eastAsia="黑体"/>
          <w:kern w:val="0"/>
          <w:sz w:val="40"/>
          <w:szCs w:val="22"/>
          <w:lang w:val="zh-TW"/>
        </w:rPr>
        <w:t>创新创意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大赛</w:t>
      </w:r>
    </w:p>
    <w:p w14:paraId="013C145D">
      <w:pPr>
        <w:spacing w:line="360" w:lineRule="auto"/>
        <w:jc w:val="center"/>
        <w:rPr>
          <w:rFonts w:hint="eastAsia" w:ascii="黑体" w:eastAsia="黑体"/>
          <w:kern w:val="0"/>
          <w:sz w:val="40"/>
          <w:szCs w:val="22"/>
          <w:lang w:val="en-US" w:eastAsia="zh-CN"/>
        </w:rPr>
      </w:pPr>
      <w:r>
        <w:rPr>
          <w:rFonts w:hint="eastAsia" w:ascii="黑体" w:eastAsia="黑体"/>
          <w:kern w:val="0"/>
          <w:sz w:val="40"/>
          <w:szCs w:val="22"/>
        </w:rPr>
        <w:t>包装设计</w:t>
      </w:r>
      <w:r>
        <w:rPr>
          <w:rFonts w:hint="eastAsia" w:ascii="黑体" w:eastAsia="黑体"/>
          <w:kern w:val="0"/>
          <w:sz w:val="40"/>
          <w:szCs w:val="22"/>
          <w:lang w:val="en-US" w:eastAsia="zh-CN"/>
        </w:rPr>
        <w:t>竞赛</w:t>
      </w:r>
    </w:p>
    <w:p w14:paraId="570511B9">
      <w:pPr>
        <w:spacing w:line="360" w:lineRule="auto"/>
        <w:jc w:val="center"/>
        <w:rPr>
          <w:b/>
          <w:sz w:val="44"/>
          <w:szCs w:val="44"/>
        </w:rPr>
      </w:pPr>
    </w:p>
    <w:p w14:paraId="7EBAC029">
      <w:pPr>
        <w:spacing w:line="360" w:lineRule="auto"/>
        <w:jc w:val="center"/>
        <w:rPr>
          <w:b/>
          <w:sz w:val="44"/>
          <w:szCs w:val="44"/>
        </w:rPr>
      </w:pPr>
    </w:p>
    <w:p w14:paraId="0DAC5CE0">
      <w:pPr>
        <w:spacing w:line="360" w:lineRule="auto"/>
        <w:rPr>
          <w:b/>
          <w:sz w:val="24"/>
        </w:rPr>
      </w:pPr>
    </w:p>
    <w:p w14:paraId="154D8E47">
      <w:pPr>
        <w:spacing w:line="360" w:lineRule="auto"/>
        <w:jc w:val="center"/>
        <w:rPr>
          <w:b/>
          <w:sz w:val="32"/>
          <w:szCs w:val="32"/>
        </w:rPr>
      </w:pPr>
    </w:p>
    <w:p w14:paraId="4399768C">
      <w:pPr>
        <w:spacing w:line="360" w:lineRule="auto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参赛作品名称：</w:t>
      </w:r>
    </w:p>
    <w:p w14:paraId="08A569E8">
      <w:pPr>
        <w:pStyle w:val="21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参赛编号：</w:t>
      </w:r>
    </w:p>
    <w:p w14:paraId="1B067540">
      <w:pPr>
        <w:pStyle w:val="21"/>
        <w:ind w:firstLine="0" w:firstLineChars="0"/>
        <w:jc w:val="center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（备注：报名完成后，参赛编号系统自动生成）</w:t>
      </w:r>
    </w:p>
    <w:p w14:paraId="3D98135A">
      <w:pPr>
        <w:pStyle w:val="21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日    期：</w:t>
      </w:r>
    </w:p>
    <w:p w14:paraId="065FF408">
      <w:pPr>
        <w:spacing w:line="360" w:lineRule="auto"/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p w14:paraId="12B836AE">
      <w:pPr>
        <w:spacing w:line="360" w:lineRule="auto"/>
        <w:jc w:val="center"/>
        <w:rPr>
          <w:b/>
          <w:sz w:val="32"/>
          <w:szCs w:val="32"/>
        </w:rPr>
      </w:pPr>
    </w:p>
    <w:p w14:paraId="328F79D8">
      <w:pPr>
        <w:spacing w:line="360" w:lineRule="auto"/>
        <w:jc w:val="center"/>
        <w:rPr>
          <w:b/>
          <w:sz w:val="32"/>
          <w:szCs w:val="32"/>
        </w:rPr>
      </w:pPr>
    </w:p>
    <w:p w14:paraId="125DB181">
      <w:pPr>
        <w:spacing w:line="360" w:lineRule="auto"/>
        <w:jc w:val="center"/>
        <w:rPr>
          <w:b/>
          <w:sz w:val="32"/>
          <w:szCs w:val="32"/>
        </w:rPr>
      </w:pPr>
    </w:p>
    <w:p w14:paraId="654D3D7E">
      <w:pPr>
        <w:spacing w:line="360" w:lineRule="auto"/>
        <w:jc w:val="center"/>
        <w:rPr>
          <w:b/>
          <w:sz w:val="32"/>
          <w:szCs w:val="32"/>
        </w:rPr>
      </w:pPr>
    </w:p>
    <w:p w14:paraId="39F0CAE2">
      <w:pPr>
        <w:spacing w:line="360" w:lineRule="auto"/>
        <w:rPr>
          <w:b/>
          <w:sz w:val="32"/>
          <w:szCs w:val="32"/>
        </w:rPr>
      </w:pPr>
    </w:p>
    <w:p w14:paraId="6B414D0A">
      <w:pPr>
        <w:pStyle w:val="21"/>
        <w:ind w:firstLine="0" w:firstLineChars="0"/>
        <w:rPr>
          <w:rFonts w:ascii="宋体" w:hAnsi="宋体"/>
          <w:kern w:val="0"/>
        </w:rPr>
      </w:pPr>
    </w:p>
    <w:p w14:paraId="11F38ADF">
      <w:pPr>
        <w:pStyle w:val="21"/>
        <w:ind w:firstLine="0" w:firstLineChars="0"/>
        <w:rPr>
          <w:rFonts w:ascii="宋体" w:hAnsi="宋体"/>
          <w:kern w:val="0"/>
        </w:rPr>
      </w:pPr>
    </w:p>
    <w:p w14:paraId="52BD2CCD">
      <w:pPr>
        <w:rPr>
          <w:rStyle w:val="16"/>
          <w:rFonts w:eastAsia="宋体"/>
          <w:szCs w:val="24"/>
        </w:rPr>
      </w:pPr>
    </w:p>
    <w:p w14:paraId="76FFB0A1">
      <w:pPr>
        <w:rPr>
          <w:rFonts w:ascii="宋体" w:hAnsi="宋体" w:cs="宋体"/>
          <w:b/>
          <w:bCs/>
          <w:kern w:val="36"/>
          <w:sz w:val="24"/>
        </w:rPr>
      </w:pPr>
      <w:r>
        <w:rPr>
          <w:rFonts w:hint="eastAsia" w:ascii="宋体" w:hAnsi="宋体" w:cs="宋体"/>
          <w:b/>
          <w:bCs/>
          <w:kern w:val="36"/>
          <w:sz w:val="24"/>
        </w:rPr>
        <w:br w:type="page"/>
      </w:r>
    </w:p>
    <w:p w14:paraId="4D928EAD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一、总体要求</w:t>
      </w:r>
    </w:p>
    <w:p w14:paraId="4CF72511">
      <w:pPr>
        <w:numPr>
          <w:ilvl w:val="255"/>
          <w:numId w:val="0"/>
        </w:numPr>
        <w:spacing w:line="360" w:lineRule="auto"/>
        <w:rPr>
          <w:rStyle w:val="22"/>
          <w:rFonts w:eastAsia="宋体"/>
          <w:b w:val="0"/>
          <w:bCs w:val="0"/>
          <w:sz w:val="22"/>
          <w:szCs w:val="22"/>
        </w:rPr>
      </w:pPr>
      <w:r>
        <w:rPr>
          <w:rStyle w:val="22"/>
          <w:rFonts w:hint="eastAsia"/>
          <w:b w:val="0"/>
          <w:bCs w:val="0"/>
          <w:sz w:val="22"/>
          <w:szCs w:val="22"/>
        </w:rPr>
        <w:t>1</w:t>
      </w:r>
      <w:r>
        <w:rPr>
          <w:rStyle w:val="22"/>
          <w:rFonts w:hint="eastAsia" w:eastAsia="宋体"/>
          <w:b w:val="0"/>
          <w:bCs w:val="0"/>
          <w:sz w:val="22"/>
          <w:szCs w:val="22"/>
        </w:rPr>
        <w:t>.合规要求：为保障赛事公正性，项目书中不得出现任何可能透露参赛者身份的信息。否则直接按照无效方案处理。</w:t>
      </w:r>
    </w:p>
    <w:p w14:paraId="1D9F6FCD">
      <w:pPr>
        <w:spacing w:line="360" w:lineRule="auto"/>
        <w:rPr>
          <w:rStyle w:val="22"/>
          <w:rFonts w:eastAsia="宋体"/>
          <w:b w:val="0"/>
          <w:bCs w:val="0"/>
          <w:sz w:val="22"/>
          <w:szCs w:val="22"/>
        </w:rPr>
      </w:pPr>
      <w:r>
        <w:rPr>
          <w:rStyle w:val="22"/>
          <w:rFonts w:hint="eastAsia"/>
          <w:b w:val="0"/>
          <w:bCs w:val="0"/>
          <w:sz w:val="22"/>
          <w:szCs w:val="22"/>
        </w:rPr>
        <w:t>2</w:t>
      </w:r>
      <w:r>
        <w:rPr>
          <w:rStyle w:val="22"/>
          <w:rFonts w:hint="eastAsia" w:eastAsia="宋体"/>
          <w:b w:val="0"/>
          <w:bCs w:val="0"/>
          <w:sz w:val="22"/>
          <w:szCs w:val="22"/>
        </w:rPr>
        <w:t>.结构完整：确保项目书涵盖所有核心章节，逻辑清晰，内容充实。</w:t>
      </w:r>
    </w:p>
    <w:p w14:paraId="40A1A437">
      <w:pPr>
        <w:numPr>
          <w:ilvl w:val="255"/>
          <w:numId w:val="0"/>
        </w:numPr>
        <w:spacing w:line="360" w:lineRule="auto"/>
        <w:rPr>
          <w:rStyle w:val="22"/>
          <w:rFonts w:eastAsia="宋体"/>
          <w:b w:val="0"/>
          <w:bCs w:val="0"/>
          <w:sz w:val="22"/>
          <w:szCs w:val="22"/>
        </w:rPr>
      </w:pPr>
      <w:r>
        <w:rPr>
          <w:rStyle w:val="22"/>
          <w:rFonts w:hint="eastAsia"/>
          <w:b w:val="0"/>
          <w:bCs w:val="0"/>
          <w:sz w:val="22"/>
          <w:szCs w:val="22"/>
        </w:rPr>
        <w:t>3</w:t>
      </w:r>
      <w:r>
        <w:rPr>
          <w:rStyle w:val="22"/>
          <w:rFonts w:hint="eastAsia" w:eastAsia="宋体"/>
          <w:b w:val="0"/>
          <w:bCs w:val="0"/>
          <w:sz w:val="22"/>
          <w:szCs w:val="22"/>
        </w:rPr>
        <w:t>.格式规范：全文排版整洁，图表清晰，数据准确，引用规范，严格遵循大赛提交的格式等各项要求。具体要求参见 GB/T 7713.2 学术论文编写规则。</w:t>
      </w:r>
    </w:p>
    <w:p w14:paraId="25AD0C66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二、核心章节</w:t>
      </w:r>
    </w:p>
    <w:p w14:paraId="55FEE969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color w:val="0000FF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</w:rPr>
        <w:t>第一章 项目总论</w:t>
      </w:r>
    </w:p>
    <w:p w14:paraId="1516ADB1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22"/>
          <w:rFonts w:hint="eastAsia" w:eastAsia="宋体"/>
          <w:b w:val="0"/>
          <w:bCs w:val="0"/>
          <w:sz w:val="22"/>
          <w:szCs w:val="22"/>
        </w:rPr>
        <w:t>1.1 项目概论</w:t>
      </w:r>
      <w:r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  <w:t>。</w:t>
      </w:r>
    </w:p>
    <w:p w14:paraId="7AA3204B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22"/>
          <w:rFonts w:hint="eastAsia" w:eastAsia="宋体"/>
          <w:b w:val="0"/>
          <w:bCs w:val="0"/>
          <w:sz w:val="22"/>
          <w:szCs w:val="22"/>
        </w:rPr>
        <w:t>1.2 选用指定命题情况</w:t>
      </w:r>
      <w:r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  <w:t>。</w:t>
      </w:r>
    </w:p>
    <w:p w14:paraId="5DDF12E5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22"/>
          <w:rFonts w:hint="eastAsia" w:eastAsia="宋体"/>
          <w:b w:val="0"/>
          <w:bCs w:val="0"/>
          <w:sz w:val="22"/>
          <w:szCs w:val="22"/>
        </w:rPr>
        <w:t>1.3 团队分工情况</w:t>
      </w:r>
      <w:r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  <w:t>。</w:t>
      </w:r>
    </w:p>
    <w:p w14:paraId="010D0DB2">
      <w:pPr>
        <w:spacing w:line="360" w:lineRule="auto"/>
        <w:rPr>
          <w:rStyle w:val="16"/>
          <w:rFonts w:hint="eastAsia" w:eastAsia="宋体"/>
          <w:sz w:val="22"/>
          <w:szCs w:val="22"/>
          <w:lang w:eastAsia="zh-CN"/>
        </w:rPr>
      </w:pPr>
      <w:r>
        <w:rPr>
          <w:rStyle w:val="16"/>
          <w:rFonts w:hint="eastAsia"/>
          <w:sz w:val="22"/>
          <w:szCs w:val="22"/>
          <w:lang w:eastAsia="zh-CN"/>
        </w:rPr>
        <w:t>（</w:t>
      </w:r>
      <w:r>
        <w:rPr>
          <w:rStyle w:val="16"/>
          <w:rFonts w:hint="eastAsia" w:eastAsia="宋体"/>
          <w:sz w:val="22"/>
          <w:szCs w:val="22"/>
        </w:rPr>
        <w:t>备注：选用赛事指定命题，</w:t>
      </w:r>
      <w:r>
        <w:rPr>
          <w:rStyle w:val="16"/>
          <w:rFonts w:hint="eastAsia" w:eastAsia="宋体"/>
          <w:sz w:val="22"/>
          <w:szCs w:val="22"/>
          <w:lang w:val="en-US" w:eastAsia="zh-CN"/>
        </w:rPr>
        <w:t>将</w:t>
      </w:r>
      <w:r>
        <w:rPr>
          <w:rStyle w:val="16"/>
          <w:rFonts w:hint="eastAsia" w:eastAsia="宋体"/>
          <w:sz w:val="22"/>
          <w:szCs w:val="22"/>
        </w:rPr>
        <w:t>额外加3分。</w:t>
      </w:r>
      <w:r>
        <w:rPr>
          <w:rStyle w:val="16"/>
          <w:rFonts w:hint="eastAsia"/>
          <w:sz w:val="22"/>
          <w:szCs w:val="22"/>
          <w:lang w:eastAsia="zh-CN"/>
        </w:rPr>
        <w:t>）</w:t>
      </w:r>
    </w:p>
    <w:p w14:paraId="26B25AAB">
      <w:pPr>
        <w:widowControl/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 w:cs="Times New Roman"/>
          <w:color w:val="0000FF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</w:rPr>
        <w:t>第二章 产品内包装（瓶体）设计</w:t>
      </w:r>
    </w:p>
    <w:p w14:paraId="31C7F8AB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22"/>
          <w:rFonts w:hint="eastAsia" w:eastAsia="宋体"/>
          <w:b w:val="0"/>
          <w:bCs w:val="0"/>
          <w:sz w:val="22"/>
          <w:szCs w:val="22"/>
        </w:rPr>
        <w:t>2.1 设计创新及协调性：创新包装设计概念，可选公模或原创瓶型；造型符合人体工学，视觉统一有记忆点</w:t>
      </w:r>
      <w:r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  <w:t>。</w:t>
      </w:r>
    </w:p>
    <w:p w14:paraId="2959A254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22"/>
          <w:rFonts w:hint="eastAsia" w:eastAsia="宋体"/>
          <w:b w:val="0"/>
          <w:bCs w:val="0"/>
          <w:sz w:val="22"/>
          <w:szCs w:val="22"/>
        </w:rPr>
        <w:t>2.2 绿色理念与可持续性：</w:t>
      </w:r>
      <w:r>
        <w:rPr>
          <w:rStyle w:val="22"/>
          <w:rFonts w:hint="eastAsia" w:eastAsia="宋体"/>
          <w:b w:val="0"/>
          <w:bCs w:val="0"/>
          <w:sz w:val="22"/>
          <w:szCs w:val="22"/>
          <w:lang w:val="en-US" w:eastAsia="zh-CN"/>
        </w:rPr>
        <w:t>使用</w:t>
      </w:r>
      <w:r>
        <w:rPr>
          <w:rStyle w:val="22"/>
          <w:rFonts w:hint="eastAsia" w:eastAsia="宋体"/>
          <w:b w:val="0"/>
          <w:bCs w:val="0"/>
          <w:sz w:val="22"/>
          <w:szCs w:val="22"/>
        </w:rPr>
        <w:t>降解/回收材料，减少不可回收成分，采用低碳环保工艺，考虑二次利用</w:t>
      </w:r>
      <w:r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  <w:t>。</w:t>
      </w:r>
    </w:p>
    <w:p w14:paraId="029E5012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22"/>
          <w:rFonts w:hint="eastAsia" w:eastAsia="宋体"/>
          <w:b w:val="0"/>
          <w:bCs w:val="0"/>
          <w:sz w:val="22"/>
          <w:szCs w:val="22"/>
        </w:rPr>
        <w:t>2.3 品牌适配性与用户体验：传递品牌基因，关联品牌，贴合用户需求、偏好及使用场景，引发共鸣</w:t>
      </w:r>
      <w:r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  <w:t>。</w:t>
      </w:r>
    </w:p>
    <w:p w14:paraId="421FF38A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</w:rPr>
      </w:pPr>
      <w:r>
        <w:rPr>
          <w:rStyle w:val="22"/>
          <w:rFonts w:hint="eastAsia" w:eastAsia="宋体"/>
          <w:b w:val="0"/>
          <w:bCs w:val="0"/>
          <w:sz w:val="22"/>
          <w:szCs w:val="22"/>
        </w:rPr>
        <w:t>2.4 商业落地与成本控制：创新可量产工艺提升质感，材质适配工艺，符合工业化流程，成本可控。</w:t>
      </w:r>
    </w:p>
    <w:p w14:paraId="48E4CBB0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color w:val="0000FF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</w:rPr>
        <w:t>第三章 产品外包装（花盒或礼盒）设计</w:t>
      </w:r>
    </w:p>
    <w:p w14:paraId="1C95C1E4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16"/>
          <w:rFonts w:eastAsia="宋体"/>
          <w:b w:val="0"/>
          <w:bCs w:val="0"/>
          <w:sz w:val="22"/>
          <w:szCs w:val="22"/>
        </w:rPr>
        <w:t>3</w:t>
      </w:r>
      <w:r>
        <w:rPr>
          <w:rStyle w:val="16"/>
          <w:rFonts w:hint="eastAsia" w:eastAsia="宋体"/>
          <w:b w:val="0"/>
          <w:bCs w:val="0"/>
          <w:sz w:val="22"/>
          <w:szCs w:val="22"/>
        </w:rPr>
        <w:t>.1 设计创新及协调性：</w:t>
      </w:r>
      <w:r>
        <w:rPr>
          <w:rStyle w:val="22"/>
          <w:rFonts w:hint="eastAsia" w:eastAsia="宋体"/>
          <w:b w:val="0"/>
          <w:bCs w:val="0"/>
          <w:sz w:val="22"/>
          <w:szCs w:val="22"/>
        </w:rPr>
        <w:t>创新设计概念，避免抄袭，结构或打开方式独特，视觉元素与品牌、功效匹配，</w:t>
      </w:r>
      <w:r>
        <w:rPr>
          <w:rStyle w:val="22"/>
          <w:rFonts w:hint="eastAsia" w:eastAsia="宋体"/>
          <w:b w:val="0"/>
          <w:bCs w:val="0"/>
          <w:sz w:val="22"/>
          <w:szCs w:val="22"/>
          <w:lang w:val="en-US" w:eastAsia="zh-CN"/>
        </w:rPr>
        <w:t>具</w:t>
      </w:r>
      <w:r>
        <w:rPr>
          <w:rStyle w:val="22"/>
          <w:rFonts w:hint="eastAsia" w:eastAsia="宋体"/>
          <w:b w:val="0"/>
          <w:bCs w:val="0"/>
          <w:sz w:val="22"/>
          <w:szCs w:val="22"/>
        </w:rPr>
        <w:t>有美感与文化内涵，</w:t>
      </w:r>
      <w:r>
        <w:rPr>
          <w:rStyle w:val="22"/>
          <w:rFonts w:hint="eastAsia" w:eastAsia="宋体"/>
          <w:b w:val="0"/>
          <w:bCs w:val="0"/>
          <w:sz w:val="22"/>
          <w:szCs w:val="22"/>
          <w:lang w:val="en-US" w:eastAsia="zh-CN"/>
        </w:rPr>
        <w:t>鼓励</w:t>
      </w:r>
      <w:r>
        <w:rPr>
          <w:rStyle w:val="22"/>
          <w:rFonts w:hint="eastAsia" w:eastAsia="宋体"/>
          <w:b w:val="0"/>
          <w:bCs w:val="0"/>
          <w:sz w:val="22"/>
          <w:szCs w:val="22"/>
        </w:rPr>
        <w:t>原创插画</w:t>
      </w:r>
      <w:r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  <w:t>。</w:t>
      </w:r>
    </w:p>
    <w:p w14:paraId="383C1395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22"/>
          <w:rFonts w:hint="eastAsia" w:eastAsia="宋体"/>
          <w:b w:val="0"/>
          <w:bCs w:val="0"/>
          <w:sz w:val="22"/>
          <w:szCs w:val="22"/>
        </w:rPr>
        <w:t>3.2 绿色理念与可持续性：同第二章绿色理念与可持续性要求</w:t>
      </w:r>
      <w:r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  <w:t>。</w:t>
      </w:r>
    </w:p>
    <w:p w14:paraId="73C8071A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22"/>
          <w:rFonts w:hint="eastAsia" w:eastAsia="宋体"/>
          <w:b w:val="0"/>
          <w:bCs w:val="0"/>
          <w:sz w:val="22"/>
          <w:szCs w:val="22"/>
        </w:rPr>
        <w:t>3.3 品牌适配性与用户体验：同第二章品牌适配性与用户体验要求</w:t>
      </w:r>
      <w:r>
        <w:rPr>
          <w:rStyle w:val="22"/>
          <w:rFonts w:hint="eastAsia" w:eastAsia="宋体"/>
          <w:b w:val="0"/>
          <w:bCs w:val="0"/>
          <w:sz w:val="22"/>
          <w:szCs w:val="22"/>
          <w:lang w:eastAsia="zh-CN"/>
        </w:rPr>
        <w:t>。</w:t>
      </w:r>
    </w:p>
    <w:p w14:paraId="6F24053E">
      <w:pPr>
        <w:numPr>
          <w:ilvl w:val="255"/>
          <w:numId w:val="0"/>
        </w:numPr>
        <w:spacing w:line="360" w:lineRule="auto"/>
        <w:rPr>
          <w:rStyle w:val="22"/>
          <w:rFonts w:hint="eastAsia" w:eastAsia="宋体"/>
          <w:b w:val="0"/>
          <w:bCs w:val="0"/>
          <w:sz w:val="22"/>
          <w:szCs w:val="22"/>
        </w:rPr>
      </w:pPr>
      <w:r>
        <w:rPr>
          <w:rStyle w:val="22"/>
          <w:rFonts w:hint="eastAsia" w:eastAsia="宋体"/>
          <w:b w:val="0"/>
          <w:bCs w:val="0"/>
          <w:sz w:val="22"/>
          <w:szCs w:val="22"/>
        </w:rPr>
        <w:t>3.4 商业落地与成本控制：同第二章商业落地与成本控制要求。</w:t>
      </w:r>
    </w:p>
    <w:p w14:paraId="53EA173B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color w:val="0000FF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</w:rPr>
        <w:t>第四章 产品主视觉海报（KV）及延展设计</w:t>
      </w:r>
    </w:p>
    <w:p w14:paraId="568A0813">
      <w:pPr>
        <w:spacing w:line="360" w:lineRule="auto"/>
        <w:rPr>
          <w:rStyle w:val="16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16"/>
          <w:rFonts w:eastAsia="宋体"/>
          <w:b w:val="0"/>
          <w:bCs w:val="0"/>
          <w:sz w:val="22"/>
          <w:szCs w:val="22"/>
        </w:rPr>
        <w:t>4</w:t>
      </w:r>
      <w:r>
        <w:rPr>
          <w:rStyle w:val="16"/>
          <w:rFonts w:hint="eastAsia" w:eastAsia="宋体"/>
          <w:b w:val="0"/>
          <w:bCs w:val="0"/>
          <w:sz w:val="22"/>
          <w:szCs w:val="22"/>
        </w:rPr>
        <w:t>.1 产品主</w:t>
      </w:r>
      <w:r>
        <w:rPr>
          <w:rStyle w:val="16"/>
          <w:rFonts w:hint="eastAsia" w:eastAsia="宋体"/>
          <w:b w:val="0"/>
          <w:bCs w:val="0"/>
          <w:sz w:val="22"/>
          <w:szCs w:val="22"/>
          <w:lang w:eastAsia="zh-CN"/>
        </w:rPr>
        <w:t>视觉海报（KV）设计：产品图与元素排版传达卖点与品牌理念，视觉元素匹配品牌与功效，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具</w:t>
      </w:r>
      <w:r>
        <w:rPr>
          <w:rStyle w:val="16"/>
          <w:rFonts w:hint="eastAsia" w:eastAsia="宋体"/>
          <w:b w:val="0"/>
          <w:bCs w:val="0"/>
          <w:sz w:val="22"/>
          <w:szCs w:val="22"/>
          <w:lang w:eastAsia="zh-CN"/>
        </w:rPr>
        <w:t>有美感与文化内涵。</w:t>
      </w:r>
    </w:p>
    <w:p w14:paraId="381B6E06">
      <w:pPr>
        <w:spacing w:line="360" w:lineRule="auto"/>
        <w:rPr>
          <w:rStyle w:val="16"/>
          <w:rFonts w:eastAsia="宋体"/>
          <w:b w:val="0"/>
          <w:bCs w:val="0"/>
          <w:sz w:val="22"/>
          <w:szCs w:val="22"/>
        </w:rPr>
      </w:pPr>
      <w:r>
        <w:rPr>
          <w:rStyle w:val="16"/>
          <w:rFonts w:hint="eastAsia" w:eastAsia="宋体"/>
          <w:b w:val="0"/>
          <w:bCs w:val="0"/>
          <w:sz w:val="22"/>
          <w:szCs w:val="22"/>
          <w:lang w:eastAsia="zh-CN"/>
        </w:rPr>
        <w:t>4.2 产品包装延展设计：考虑销售</w:t>
      </w:r>
      <w:r>
        <w:rPr>
          <w:rStyle w:val="16"/>
          <w:rFonts w:hint="eastAsia" w:eastAsia="宋体"/>
          <w:b w:val="0"/>
          <w:bCs w:val="0"/>
          <w:sz w:val="22"/>
          <w:szCs w:val="22"/>
        </w:rPr>
        <w:t>终端，线下结合场景设计陈列方案，线上设计不少于6屏详情页。</w:t>
      </w:r>
      <w:bookmarkStart w:id="0" w:name="_GoBack"/>
      <w:bookmarkEnd w:id="0"/>
    </w:p>
    <w:p w14:paraId="2362170D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color w:val="0000FF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</w:rPr>
        <w:t>第五章 产品包装效果呈现</w:t>
      </w:r>
    </w:p>
    <w:p w14:paraId="051B1270">
      <w:pPr>
        <w:spacing w:line="360" w:lineRule="auto"/>
        <w:rPr>
          <w:rStyle w:val="16"/>
          <w:rFonts w:hint="eastAsia" w:eastAsia="宋体"/>
          <w:b w:val="0"/>
          <w:bCs w:val="0"/>
          <w:sz w:val="22"/>
          <w:szCs w:val="22"/>
          <w:lang w:eastAsia="zh-CN"/>
        </w:rPr>
      </w:pPr>
      <w:r>
        <w:rPr>
          <w:rStyle w:val="16"/>
          <w:rFonts w:eastAsia="宋体"/>
          <w:b w:val="0"/>
          <w:bCs w:val="0"/>
          <w:sz w:val="22"/>
          <w:szCs w:val="22"/>
        </w:rPr>
        <w:t>5</w:t>
      </w:r>
      <w:r>
        <w:rPr>
          <w:rStyle w:val="16"/>
          <w:rFonts w:hint="eastAsia" w:eastAsia="宋体"/>
          <w:b w:val="0"/>
          <w:bCs w:val="0"/>
          <w:sz w:val="22"/>
          <w:szCs w:val="22"/>
        </w:rPr>
        <w:t>.1 产品包装设计</w:t>
      </w:r>
      <w:r>
        <w:rPr>
          <w:rStyle w:val="16"/>
          <w:rFonts w:hint="eastAsia" w:eastAsia="宋体"/>
          <w:b w:val="0"/>
          <w:bCs w:val="0"/>
          <w:sz w:val="22"/>
          <w:szCs w:val="22"/>
          <w:lang w:eastAsia="zh-CN"/>
        </w:rPr>
        <w:t>：提交jpg或tif格式，分辨率不小于1920*1080像素，横竖不限，不少于5张（含全、正、左、顶、底视图）。</w:t>
      </w:r>
    </w:p>
    <w:p w14:paraId="0FA167DC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color w:val="0000FF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</w:rPr>
        <w:t>第六章 宣传视频</w:t>
      </w:r>
    </w:p>
    <w:p w14:paraId="4A0BB5C0">
      <w:pPr>
        <w:spacing w:line="360" w:lineRule="auto"/>
        <w:rPr>
          <w:rStyle w:val="16"/>
          <w:rFonts w:hint="default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6"/>
          <w:rFonts w:eastAsia="宋体"/>
          <w:b w:val="0"/>
          <w:bCs w:val="0"/>
          <w:sz w:val="22"/>
          <w:szCs w:val="22"/>
        </w:rPr>
        <w:t>6</w:t>
      </w:r>
      <w:r>
        <w:rPr>
          <w:rStyle w:val="16"/>
          <w:rFonts w:hint="eastAsia" w:eastAsia="宋体"/>
          <w:b w:val="0"/>
          <w:bCs w:val="0"/>
          <w:sz w:val="22"/>
          <w:szCs w:val="22"/>
        </w:rPr>
        <w:t xml:space="preserve">.1 </w:t>
      </w:r>
      <w:r>
        <w:rPr>
          <w:rStyle w:val="16"/>
          <w:rFonts w:hint="eastAsia" w:eastAsia="宋体"/>
          <w:b w:val="0"/>
          <w:bCs w:val="0"/>
          <w:sz w:val="22"/>
          <w:szCs w:val="22"/>
          <w:lang w:val="en-US" w:eastAsia="zh-CN"/>
        </w:rPr>
        <w:t>宣传视频：提交不少于1分钟视频，突出品牌理念、设计概念与卖点，主题贴合、视听合理、易于传播。（可以使用AI工具）</w:t>
      </w:r>
    </w:p>
    <w:p w14:paraId="5D4FF3C2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kern w:val="0"/>
          <w:sz w:val="24"/>
          <w:lang w:val="en-US"/>
        </w:rPr>
      </w:pPr>
      <w:r>
        <w:rPr>
          <w:rFonts w:hint="eastAsia" w:eastAsia="黑体"/>
          <w:kern w:val="0"/>
          <w:sz w:val="24"/>
          <w:lang w:val="en-US" w:eastAsia="zh-CN"/>
        </w:rPr>
        <w:t>第七章 赛事宣传得分</w:t>
      </w:r>
    </w:p>
    <w:p w14:paraId="632A04F0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根据宣传得分机制，计算宣传得分，并给出截图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证明材料。</w:t>
      </w:r>
    </w:p>
    <w:p w14:paraId="664F065A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（</w:t>
      </w:r>
      <w:r>
        <w:rPr>
          <w:rFonts w:hint="eastAsia" w:ascii="宋体" w:hAnsi="宋体" w:cs="宋体"/>
          <w:b/>
          <w:bCs/>
          <w:sz w:val="22"/>
          <w:szCs w:val="22"/>
        </w:rPr>
        <w:t>备注：宣传得分，满分为2分。</w:t>
      </w: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）</w:t>
      </w:r>
    </w:p>
    <w:p w14:paraId="37E9165D">
      <w:pPr>
        <w:spacing w:line="360" w:lineRule="auto"/>
        <w:rPr>
          <w:rFonts w:hint="eastAsia" w:ascii="宋体" w:hAnsi="宋体" w:cs="宋体"/>
          <w:b/>
          <w:bCs/>
          <w:sz w:val="22"/>
          <w:szCs w:val="22"/>
        </w:rPr>
      </w:pPr>
    </w:p>
    <w:p w14:paraId="1EB5E126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  <w:lang w:val="en-US" w:eastAsia="zh-CN"/>
        </w:rPr>
        <w:t>附件 其他辅助证明材料</w:t>
      </w:r>
    </w:p>
    <w:p w14:paraId="6D2AB6FA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包括但不限于照片、专利、文章等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19CA32E"/>
    <w:p w14:paraId="3F463577">
      <w:pPr>
        <w:rPr>
          <w:rFonts w:hint="default"/>
          <w:lang w:val="en-US"/>
        </w:rPr>
      </w:pPr>
      <w:r>
        <w:rPr>
          <w:rFonts w:hint="eastAsia" w:eastAsia="黑体"/>
          <w:kern w:val="0"/>
          <w:sz w:val="24"/>
          <w:lang w:val="en-US" w:eastAsia="zh-CN"/>
        </w:rPr>
        <w:t>三、赛事宣传得分机制</w:t>
      </w:r>
    </w:p>
    <w:p w14:paraId="3C4F2086">
      <w:pPr>
        <w:spacing w:line="360" w:lineRule="auto"/>
        <w:ind w:firstLine="440" w:firstLineChars="20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赛事宣传满分为2分。其中基础得分满分0.5分，宣传得分满分1.5分。</w:t>
      </w:r>
    </w:p>
    <w:p w14:paraId="66A805DD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1.基础得分（</w:t>
      </w:r>
      <w:r>
        <w:rPr>
          <w:rFonts w:hint="eastAsia"/>
          <w:sz w:val="22"/>
          <w:szCs w:val="22"/>
          <w:lang w:val="en-US" w:eastAsia="zh-CN"/>
        </w:rPr>
        <w:t>0.5</w:t>
      </w:r>
      <w:r>
        <w:rPr>
          <w:rFonts w:hint="eastAsia"/>
          <w:sz w:val="22"/>
          <w:szCs w:val="22"/>
          <w:lang w:eastAsia="zh-CN"/>
        </w:rPr>
        <w:t>分）</w:t>
      </w:r>
    </w:p>
    <w:p w14:paraId="20D994E4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（1）在指定平台建立账号并有效运营，每个平台</w:t>
      </w:r>
      <w:r>
        <w:rPr>
          <w:rFonts w:hint="eastAsia"/>
          <w:sz w:val="22"/>
          <w:szCs w:val="22"/>
          <w:lang w:val="en-US" w:eastAsia="zh-CN"/>
        </w:rPr>
        <w:t>有效运营</w:t>
      </w:r>
      <w:r>
        <w:rPr>
          <w:rFonts w:hint="eastAsia"/>
          <w:sz w:val="22"/>
          <w:szCs w:val="22"/>
          <w:lang w:eastAsia="zh-CN"/>
        </w:rPr>
        <w:t>得0.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  <w:lang w:eastAsia="zh-CN"/>
        </w:rPr>
        <w:t>分，上限</w:t>
      </w:r>
      <w:r>
        <w:rPr>
          <w:rFonts w:hint="eastAsia"/>
          <w:sz w:val="22"/>
          <w:szCs w:val="22"/>
          <w:lang w:val="en-US" w:eastAsia="zh-CN"/>
        </w:rPr>
        <w:t>0.5</w:t>
      </w:r>
      <w:r>
        <w:rPr>
          <w:rFonts w:hint="eastAsia"/>
          <w:sz w:val="22"/>
          <w:szCs w:val="22"/>
          <w:lang w:eastAsia="zh-CN"/>
        </w:rPr>
        <w:t>分。（指定平台包括：小红书、百家号、头条号、视频号、抖音、快手、B站等）</w:t>
      </w:r>
    </w:p>
    <w:p w14:paraId="010B2075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  <w:lang w:val="en-US" w:eastAsia="zh-CN"/>
        </w:rPr>
        <w:t>有效运营是指每个平台每个月发布内容不少于4篇。发布图文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p w14:paraId="74107222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3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sz w:val="22"/>
          <w:szCs w:val="28"/>
        </w:rPr>
        <w:t>账号名称需统一格式为“NCGC+赛道名称</w:t>
      </w:r>
      <w:r>
        <w:rPr>
          <w:rFonts w:hint="eastAsia"/>
          <w:sz w:val="22"/>
          <w:szCs w:val="28"/>
          <w:lang w:val="en-US" w:eastAsia="zh-CN"/>
        </w:rPr>
        <w:t>或命题企业名称</w:t>
      </w:r>
      <w:r>
        <w:rPr>
          <w:sz w:val="22"/>
          <w:szCs w:val="28"/>
        </w:rPr>
        <w:t>+团队简称”，例</w:t>
      </w:r>
      <w:r>
        <w:rPr>
          <w:rFonts w:hint="eastAsia"/>
          <w:sz w:val="22"/>
          <w:szCs w:val="28"/>
          <w:lang w:val="en-US" w:eastAsia="zh-CN"/>
        </w:rPr>
        <w:t>1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</w:rPr>
        <w:t>配方设计</w:t>
      </w:r>
      <w:r>
        <w:rPr>
          <w:sz w:val="22"/>
          <w:szCs w:val="28"/>
        </w:rPr>
        <w:t>组开拓队”，其中“开拓队”为团队简称。例</w:t>
      </w:r>
      <w:r>
        <w:rPr>
          <w:rFonts w:hint="eastAsia"/>
          <w:sz w:val="22"/>
          <w:szCs w:val="28"/>
          <w:lang w:val="en-US" w:eastAsia="zh-CN"/>
        </w:rPr>
        <w:t>2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开拓队”，其中“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”为</w:t>
      </w:r>
      <w:r>
        <w:rPr>
          <w:rFonts w:hint="eastAsia"/>
          <w:sz w:val="22"/>
          <w:szCs w:val="28"/>
          <w:lang w:val="en-US" w:eastAsia="zh-CN"/>
        </w:rPr>
        <w:t>命题企业</w:t>
      </w:r>
      <w:r>
        <w:rPr>
          <w:sz w:val="22"/>
          <w:szCs w:val="28"/>
        </w:rPr>
        <w:t>简称。</w:t>
      </w:r>
    </w:p>
    <w:p w14:paraId="22A8AC0A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2.宣传得分（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default"/>
          <w:sz w:val="22"/>
          <w:szCs w:val="22"/>
          <w:lang w:val="en-US" w:eastAsia="zh-CN"/>
        </w:rPr>
        <w:t>.</w:t>
      </w:r>
      <w:r>
        <w:rPr>
          <w:rFonts w:hint="eastAsia"/>
          <w:sz w:val="22"/>
          <w:szCs w:val="22"/>
          <w:lang w:val="en-US" w:eastAsia="zh-CN"/>
        </w:rPr>
        <w:t>5</w:t>
      </w:r>
      <w:r>
        <w:rPr>
          <w:rFonts w:hint="eastAsia"/>
          <w:sz w:val="22"/>
          <w:szCs w:val="22"/>
          <w:lang w:eastAsia="zh-CN"/>
        </w:rPr>
        <w:t>分）</w:t>
      </w:r>
    </w:p>
    <w:p w14:paraId="0B43BFA4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（1）图文传播：阅读量不低于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的1篇文章</w:t>
      </w:r>
      <w:r>
        <w:rPr>
          <w:rFonts w:hint="eastAsia"/>
          <w:sz w:val="22"/>
          <w:szCs w:val="22"/>
          <w:lang w:eastAsia="zh-CN"/>
        </w:rPr>
        <w:t>得0.1分，超过</w:t>
      </w:r>
      <w:r>
        <w:rPr>
          <w:rFonts w:hint="default"/>
          <w:sz w:val="22"/>
          <w:szCs w:val="22"/>
          <w:lang w:val="en-US" w:eastAsia="zh-CN"/>
        </w:rPr>
        <w:t>50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阅读量</w:t>
      </w:r>
      <w:r>
        <w:rPr>
          <w:rFonts w:hint="eastAsia"/>
          <w:sz w:val="22"/>
          <w:szCs w:val="22"/>
          <w:lang w:eastAsia="zh-CN"/>
        </w:rPr>
        <w:t>得0.2分。</w:t>
      </w:r>
      <w:r>
        <w:rPr>
          <w:rFonts w:hint="eastAsia"/>
          <w:sz w:val="22"/>
          <w:szCs w:val="22"/>
          <w:lang w:val="en-US" w:eastAsia="zh-CN"/>
        </w:rPr>
        <w:t>阅读量低于1000得0分。</w:t>
      </w:r>
    </w:p>
    <w:p w14:paraId="646E22DF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（2）视频传播：观看量不低于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的1个</w:t>
      </w:r>
      <w:r>
        <w:rPr>
          <w:rFonts w:hint="eastAsia"/>
          <w:sz w:val="22"/>
          <w:szCs w:val="22"/>
          <w:lang w:eastAsia="zh-CN"/>
        </w:rPr>
        <w:t>视频得0.</w:t>
      </w:r>
      <w:r>
        <w:rPr>
          <w:rFonts w:hint="default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分，超过1</w:t>
      </w:r>
      <w:r>
        <w:rPr>
          <w:rFonts w:hint="eastAsia"/>
          <w:sz w:val="22"/>
          <w:szCs w:val="22"/>
          <w:lang w:val="en-US" w:eastAsia="zh-CN"/>
        </w:rPr>
        <w:t>万阅读量可</w:t>
      </w:r>
      <w:r>
        <w:rPr>
          <w:rFonts w:hint="eastAsia"/>
          <w:sz w:val="22"/>
          <w:szCs w:val="22"/>
          <w:lang w:eastAsia="zh-CN"/>
        </w:rPr>
        <w:t>得0.5分。</w:t>
      </w:r>
      <w:r>
        <w:rPr>
          <w:rFonts w:hint="eastAsia"/>
          <w:sz w:val="22"/>
          <w:szCs w:val="22"/>
          <w:lang w:val="en-US" w:eastAsia="zh-CN"/>
        </w:rPr>
        <w:t>观看量低于1000得0分。</w:t>
      </w:r>
    </w:p>
    <w:p w14:paraId="571358CF">
      <w:pPr>
        <w:spacing w:line="360" w:lineRule="auto"/>
        <w:rPr>
          <w:rStyle w:val="16"/>
          <w:rFonts w:eastAsia="宋体"/>
          <w:szCs w:val="24"/>
        </w:rPr>
      </w:pPr>
      <w:r>
        <w:rPr>
          <w:rFonts w:hint="eastAsia"/>
          <w:sz w:val="22"/>
          <w:szCs w:val="22"/>
          <w:lang w:eastAsia="zh-CN"/>
        </w:rPr>
        <w:t>（3）</w:t>
      </w:r>
      <w:r>
        <w:rPr>
          <w:rFonts w:hint="eastAsia"/>
          <w:sz w:val="22"/>
          <w:szCs w:val="22"/>
          <w:lang w:val="en-US" w:eastAsia="zh-CN"/>
        </w:rPr>
        <w:t>要求图文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sectPr>
      <w:footerReference r:id="rId3" w:type="default"/>
      <w:footerReference r:id="rId4" w:type="even"/>
      <w:pgSz w:w="11906" w:h="16838"/>
      <w:pgMar w:top="1258" w:right="1418" w:bottom="2268" w:left="1418" w:header="1531" w:footer="170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Roman 10cpi">
    <w:altName w:val="Segoe Print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3E6DC">
    <w:pPr>
      <w:pStyle w:val="6"/>
      <w:framePr w:wrap="around" w:vAnchor="text" w:hAnchor="margin" w:xAlign="center" w:y="1"/>
      <w:rPr>
        <w:rStyle w:val="14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1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14"/>
        <w:sz w:val="21"/>
        <w:szCs w:val="21"/>
      </w:rPr>
      <w:t>1</w:t>
    </w:r>
    <w:r>
      <w:rPr>
        <w:sz w:val="21"/>
        <w:szCs w:val="21"/>
      </w:rPr>
      <w:fldChar w:fldCharType="end"/>
    </w:r>
  </w:p>
  <w:p w14:paraId="7413646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6EF7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4F7AAF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jY1YWI5MDNmNmRlYmM5YWVkZDM4Y2U3NWI3ZTcifQ=="/>
  </w:docVars>
  <w:rsids>
    <w:rsidRoot w:val="00EC7B77"/>
    <w:rsid w:val="000252A2"/>
    <w:rsid w:val="00084F4A"/>
    <w:rsid w:val="0008641F"/>
    <w:rsid w:val="000B6D3F"/>
    <w:rsid w:val="0017491A"/>
    <w:rsid w:val="001937BB"/>
    <w:rsid w:val="001955E5"/>
    <w:rsid w:val="001A266C"/>
    <w:rsid w:val="001A4F48"/>
    <w:rsid w:val="00214FE2"/>
    <w:rsid w:val="002161E8"/>
    <w:rsid w:val="002A21CF"/>
    <w:rsid w:val="002A49A3"/>
    <w:rsid w:val="002F70E9"/>
    <w:rsid w:val="00320E5F"/>
    <w:rsid w:val="003405B8"/>
    <w:rsid w:val="00343028"/>
    <w:rsid w:val="0034755F"/>
    <w:rsid w:val="003656D3"/>
    <w:rsid w:val="00393DB7"/>
    <w:rsid w:val="003A5E9C"/>
    <w:rsid w:val="003B74D7"/>
    <w:rsid w:val="00401B54"/>
    <w:rsid w:val="00402170"/>
    <w:rsid w:val="004035B5"/>
    <w:rsid w:val="004244AE"/>
    <w:rsid w:val="0042706F"/>
    <w:rsid w:val="00427E3A"/>
    <w:rsid w:val="00451BCF"/>
    <w:rsid w:val="004526F8"/>
    <w:rsid w:val="00482820"/>
    <w:rsid w:val="0050319E"/>
    <w:rsid w:val="00560954"/>
    <w:rsid w:val="00575D42"/>
    <w:rsid w:val="005C216B"/>
    <w:rsid w:val="00610F6C"/>
    <w:rsid w:val="00653160"/>
    <w:rsid w:val="00655D89"/>
    <w:rsid w:val="006874AF"/>
    <w:rsid w:val="006B2A77"/>
    <w:rsid w:val="006C724A"/>
    <w:rsid w:val="006E3145"/>
    <w:rsid w:val="006F443D"/>
    <w:rsid w:val="007015CC"/>
    <w:rsid w:val="00726BD8"/>
    <w:rsid w:val="007963FC"/>
    <w:rsid w:val="0079677B"/>
    <w:rsid w:val="007C6E61"/>
    <w:rsid w:val="007D7629"/>
    <w:rsid w:val="007F0CF9"/>
    <w:rsid w:val="00814C28"/>
    <w:rsid w:val="008275EA"/>
    <w:rsid w:val="00843E8D"/>
    <w:rsid w:val="00875CAD"/>
    <w:rsid w:val="00895FC4"/>
    <w:rsid w:val="008C24CF"/>
    <w:rsid w:val="008E409A"/>
    <w:rsid w:val="009233F2"/>
    <w:rsid w:val="00924066"/>
    <w:rsid w:val="00940B32"/>
    <w:rsid w:val="009B38A7"/>
    <w:rsid w:val="009C3B7C"/>
    <w:rsid w:val="009E220A"/>
    <w:rsid w:val="009E36FC"/>
    <w:rsid w:val="009F55EE"/>
    <w:rsid w:val="00A06A4E"/>
    <w:rsid w:val="00A106AF"/>
    <w:rsid w:val="00A2405A"/>
    <w:rsid w:val="00A27ACB"/>
    <w:rsid w:val="00A83D44"/>
    <w:rsid w:val="00B22BA0"/>
    <w:rsid w:val="00B43E5D"/>
    <w:rsid w:val="00B74EB6"/>
    <w:rsid w:val="00B86414"/>
    <w:rsid w:val="00B93376"/>
    <w:rsid w:val="00B93CDA"/>
    <w:rsid w:val="00C55838"/>
    <w:rsid w:val="00CA0FC3"/>
    <w:rsid w:val="00CA174B"/>
    <w:rsid w:val="00CB7571"/>
    <w:rsid w:val="00D06EA7"/>
    <w:rsid w:val="00D07631"/>
    <w:rsid w:val="00D65F9A"/>
    <w:rsid w:val="00D9193D"/>
    <w:rsid w:val="00DB671B"/>
    <w:rsid w:val="00DD4A37"/>
    <w:rsid w:val="00E16164"/>
    <w:rsid w:val="00E663D2"/>
    <w:rsid w:val="00EC7B77"/>
    <w:rsid w:val="00EE5505"/>
    <w:rsid w:val="00EF6D55"/>
    <w:rsid w:val="00F223E9"/>
    <w:rsid w:val="00F25FB6"/>
    <w:rsid w:val="00F61805"/>
    <w:rsid w:val="00F73BE2"/>
    <w:rsid w:val="00F834C8"/>
    <w:rsid w:val="00F85C7C"/>
    <w:rsid w:val="00F9129D"/>
    <w:rsid w:val="00F97CE8"/>
    <w:rsid w:val="00FA28D7"/>
    <w:rsid w:val="00FA2959"/>
    <w:rsid w:val="00FB42CE"/>
    <w:rsid w:val="00FE0C2D"/>
    <w:rsid w:val="01312B2F"/>
    <w:rsid w:val="02980951"/>
    <w:rsid w:val="046C63AA"/>
    <w:rsid w:val="055002C6"/>
    <w:rsid w:val="06CA4243"/>
    <w:rsid w:val="097430E9"/>
    <w:rsid w:val="0BC10A45"/>
    <w:rsid w:val="0CB93727"/>
    <w:rsid w:val="0E731170"/>
    <w:rsid w:val="0FFF6F0E"/>
    <w:rsid w:val="123F2C8B"/>
    <w:rsid w:val="12723F3D"/>
    <w:rsid w:val="12F12BDA"/>
    <w:rsid w:val="133E24A6"/>
    <w:rsid w:val="13B96839"/>
    <w:rsid w:val="13E20711"/>
    <w:rsid w:val="14064B11"/>
    <w:rsid w:val="14310A4B"/>
    <w:rsid w:val="149503B7"/>
    <w:rsid w:val="15E62D4F"/>
    <w:rsid w:val="16A1272A"/>
    <w:rsid w:val="18397504"/>
    <w:rsid w:val="1A2C531A"/>
    <w:rsid w:val="1BDC7C34"/>
    <w:rsid w:val="1BE834C2"/>
    <w:rsid w:val="20EB007B"/>
    <w:rsid w:val="21EF0664"/>
    <w:rsid w:val="29534671"/>
    <w:rsid w:val="2AC137D9"/>
    <w:rsid w:val="2AE8416B"/>
    <w:rsid w:val="2AFC63D6"/>
    <w:rsid w:val="2AFF0E1F"/>
    <w:rsid w:val="2D682293"/>
    <w:rsid w:val="2DE963EB"/>
    <w:rsid w:val="2F2B1D12"/>
    <w:rsid w:val="338218D7"/>
    <w:rsid w:val="33BF2903"/>
    <w:rsid w:val="340023A6"/>
    <w:rsid w:val="364657E3"/>
    <w:rsid w:val="373D5149"/>
    <w:rsid w:val="38CC77A0"/>
    <w:rsid w:val="39401A6E"/>
    <w:rsid w:val="3A8F1281"/>
    <w:rsid w:val="3B217089"/>
    <w:rsid w:val="3BF37F9B"/>
    <w:rsid w:val="3DB85F3F"/>
    <w:rsid w:val="3EF03219"/>
    <w:rsid w:val="3FB3156E"/>
    <w:rsid w:val="3FFB51C9"/>
    <w:rsid w:val="3FFFA548"/>
    <w:rsid w:val="429379A4"/>
    <w:rsid w:val="43CF2928"/>
    <w:rsid w:val="445355CD"/>
    <w:rsid w:val="45783A3F"/>
    <w:rsid w:val="46D437DF"/>
    <w:rsid w:val="47E3761A"/>
    <w:rsid w:val="4A01737A"/>
    <w:rsid w:val="4A910270"/>
    <w:rsid w:val="4D5F4198"/>
    <w:rsid w:val="4F173622"/>
    <w:rsid w:val="50FB20EF"/>
    <w:rsid w:val="525E180D"/>
    <w:rsid w:val="52F26D24"/>
    <w:rsid w:val="53702ADE"/>
    <w:rsid w:val="55762ACA"/>
    <w:rsid w:val="55F95D4C"/>
    <w:rsid w:val="564C10A3"/>
    <w:rsid w:val="567758E8"/>
    <w:rsid w:val="56A258D6"/>
    <w:rsid w:val="574134AB"/>
    <w:rsid w:val="57C21C55"/>
    <w:rsid w:val="5AD651D2"/>
    <w:rsid w:val="5C126B5C"/>
    <w:rsid w:val="5FFF70C6"/>
    <w:rsid w:val="600623F4"/>
    <w:rsid w:val="65BB0FF1"/>
    <w:rsid w:val="65CB0B10"/>
    <w:rsid w:val="68A54DC8"/>
    <w:rsid w:val="6C5D448C"/>
    <w:rsid w:val="6EEA78E6"/>
    <w:rsid w:val="721108BA"/>
    <w:rsid w:val="72DBC647"/>
    <w:rsid w:val="748860DB"/>
    <w:rsid w:val="74F33382"/>
    <w:rsid w:val="75ED65EA"/>
    <w:rsid w:val="7617BD23"/>
    <w:rsid w:val="770A7664"/>
    <w:rsid w:val="78C37FFA"/>
    <w:rsid w:val="78EA52F9"/>
    <w:rsid w:val="79650F53"/>
    <w:rsid w:val="79BE6442"/>
    <w:rsid w:val="7B2140AF"/>
    <w:rsid w:val="7B402A99"/>
    <w:rsid w:val="7E260B81"/>
    <w:rsid w:val="7E5BD082"/>
    <w:rsid w:val="7FDD7D17"/>
    <w:rsid w:val="7FFF30E1"/>
    <w:rsid w:val="96CFFAFB"/>
    <w:rsid w:val="AF612359"/>
    <w:rsid w:val="B3FFD1F7"/>
    <w:rsid w:val="DFF8A328"/>
    <w:rsid w:val="EFD2037C"/>
    <w:rsid w:val="EFDB1F11"/>
    <w:rsid w:val="EFFF1E1B"/>
    <w:rsid w:val="FFF7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24"/>
      <w:szCs w:val="48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仿宋_GB2312"/>
      <w:b/>
      <w:bCs/>
      <w:sz w:val="24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9"/>
    <w:autoRedefine/>
    <w:qFormat/>
    <w:uiPriority w:val="0"/>
    <w:rPr>
      <w:rFonts w:ascii="宋体" w:hAnsi="Roman 10cpi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spacing w:before="120"/>
      <w:jc w:val="left"/>
    </w:pPr>
    <w:rPr>
      <w:rFonts w:eastAsia="Times New Roman"/>
      <w:bCs/>
      <w:iCs/>
      <w:sz w:val="24"/>
    </w:rPr>
  </w:style>
  <w:style w:type="paragraph" w:styleId="9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rFonts w:eastAsia="Times New Roman"/>
      <w:bCs/>
      <w:sz w:val="24"/>
      <w:szCs w:val="22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6">
    <w:name w:val="标题 1字符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仿宋_GB2312"/>
      <w:b/>
      <w:bCs/>
      <w:sz w:val="24"/>
      <w:szCs w:val="32"/>
    </w:rPr>
  </w:style>
  <w:style w:type="character" w:customStyle="1" w:styleId="18">
    <w:name w:val="页眉 字符"/>
    <w:basedOn w:val="12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纯文本 字符"/>
    <w:basedOn w:val="12"/>
    <w:link w:val="5"/>
    <w:autoRedefine/>
    <w:qFormat/>
    <w:uiPriority w:val="0"/>
    <w:rPr>
      <w:rFonts w:ascii="宋体" w:hAnsi="Roman 10cpi" w:eastAsia="宋体" w:cs="Times New Roman"/>
      <w:kern w:val="2"/>
      <w:sz w:val="21"/>
    </w:rPr>
  </w:style>
  <w:style w:type="character" w:customStyle="1" w:styleId="20">
    <w:name w:val="标题 1 字符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paragraph" w:customStyle="1" w:styleId="21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character" w:customStyle="1" w:styleId="22">
    <w:name w:val="标题 1 字符1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中融百鸣</Company>
  <Pages>4</Pages>
  <Words>1390</Words>
  <Characters>1498</Characters>
  <Lines>11</Lines>
  <Paragraphs>3</Paragraphs>
  <TotalTime>1</TotalTime>
  <ScaleCrop>false</ScaleCrop>
  <LinksUpToDate>false</LinksUpToDate>
  <CharactersWithSpaces>1529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2021-07-26T06:41:00Z</dcterms:created>
  <dc:creator>Administrator</dc:creator>
  <cp:lastModifiedBy>王渌心然</cp:lastModifiedBy>
  <cp:lastPrinted>2021-07-29T05:44:00Z</cp:lastPrinted>
  <dcterms:modified xsi:type="dcterms:W3CDTF">2025-11-13T08:24:18Z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673A58C30CDF4D87A82D4933C374D550_13</vt:lpwstr>
  </property>
  <property fmtid="{D5CDD505-2E9C-101B-9397-08002B2CF9AE}" pid="4" name="KSOTemplateDocerSaveRecord">
    <vt:lpwstr>eyJoZGlkIjoiY2E1YjY1YWI5MDNmNmRlYmM5YWVkZDM4Y2U3NWI3ZTciLCJ1c2VySWQiOiI1OTc3NjcxOTMifQ==</vt:lpwstr>
  </property>
</Properties>
</file>